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342702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11F4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0E2CCA6C" w:rsidR="00782437" w:rsidRPr="00342702" w:rsidRDefault="00342702" w:rsidP="00E04CF2">
            <w:pPr>
              <w:ind w:left="355" w:right="113"/>
              <w:rPr>
                <w:rFonts w:ascii="Arial" w:hAnsi="Arial"/>
                <w:color w:val="FF0000"/>
              </w:rPr>
            </w:pPr>
            <w:r w:rsidRPr="00342702">
              <w:rPr>
                <w:rFonts w:ascii="Arial" w:hAnsi="Arial"/>
                <w:color w:val="FF0000"/>
                <w:sz w:val="18"/>
                <w:szCs w:val="18"/>
                <w:highlight w:val="yellow"/>
              </w:rPr>
              <w:t>Departament Analiz i Strategii</w:t>
            </w: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D311F4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Pr="00D311F4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"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D311F4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D311F4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Pr="00D311F4" w:rsidRDefault="00D97AF5" w:rsidP="00D97AF5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D311F4" w:rsidRPr="00D311F4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D311F4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D311F4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D311F4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D311F4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CC6D3B"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D311F4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D311F4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D311F4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D311F4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D311F4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D311F4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7777777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D311F4">
        <w:rPr>
          <w:sz w:val="22"/>
          <w:szCs w:val="22"/>
        </w:rPr>
        <w:t>upadłościowych</w:t>
      </w:r>
      <w:r w:rsidR="00360DFD" w:rsidRPr="00D311F4">
        <w:rPr>
          <w:sz w:val="22"/>
          <w:szCs w:val="22"/>
        </w:rPr>
        <w:t>,</w:t>
      </w:r>
      <w:r w:rsidR="00EE689F" w:rsidRPr="00D311F4">
        <w:rPr>
          <w:sz w:val="22"/>
          <w:szCs w:val="22"/>
        </w:rPr>
        <w:t xml:space="preserve"> naprawczych</w:t>
      </w:r>
      <w:r w:rsidR="00360DFD" w:rsidRPr="00D311F4">
        <w:rPr>
          <w:sz w:val="22"/>
          <w:szCs w:val="22"/>
        </w:rPr>
        <w:t xml:space="preserve"> i restrukturyzacyjnych</w:t>
      </w:r>
      <w:r w:rsidR="00EE689F" w:rsidRPr="00D311F4">
        <w:rPr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D311F4" w:rsidRPr="00D311F4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D311F4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D311F4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D311F4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D311F4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D311F4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D311F4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D311F4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D311F4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D311F4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proofErr w:type="spellEnd"/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proofErr w:type="spellEnd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odwoławcze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62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99"/>
              <w:gridCol w:w="303"/>
              <w:gridCol w:w="784"/>
              <w:gridCol w:w="836"/>
              <w:gridCol w:w="700"/>
            </w:tblGrid>
            <w:tr w:rsidR="00D311F4" w:rsidRPr="00D311F4" w14:paraId="144586CA" w14:textId="77777777" w:rsidTr="00EF354A">
              <w:trPr>
                <w:trHeight w:val="345"/>
              </w:trPr>
              <w:tc>
                <w:tcPr>
                  <w:tcW w:w="3305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0" w:type="dxa"/>
                  <w:gridSpan w:val="3"/>
                  <w:vAlign w:val="center"/>
                </w:tcPr>
                <w:p w14:paraId="266BE53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3AE4847D" w14:textId="77777777" w:rsidTr="00EF354A">
              <w:trPr>
                <w:trHeight w:val="461"/>
              </w:trPr>
              <w:tc>
                <w:tcPr>
                  <w:tcW w:w="3305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36" w:type="dxa"/>
                  <w:vAlign w:val="center"/>
                </w:tcPr>
                <w:p w14:paraId="6108CF6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2A08FE4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00" w:type="dxa"/>
                  <w:vAlign w:val="center"/>
                </w:tcPr>
                <w:p w14:paraId="3610BB0C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67AE14DD" w14:textId="77777777" w:rsidTr="00EF354A">
              <w:trPr>
                <w:trHeight w:val="171"/>
              </w:trPr>
              <w:tc>
                <w:tcPr>
                  <w:tcW w:w="3305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00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354A">
              <w:trPr>
                <w:trHeight w:val="371"/>
              </w:trPr>
              <w:tc>
                <w:tcPr>
                  <w:tcW w:w="3002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D311F4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9BFA0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5CF9100F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CE4CA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5CFDA8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D311F4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2E70F4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942D93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FD7D74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6A7B92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68B52A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4981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C2B634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58EA1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AF7509F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31F2D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D47C4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C14F77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1FD9D1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EBFB5A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8171CB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D0E434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D15DF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216C83E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DBF000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87D899F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30C60C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D4B6DB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56F617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F9152C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1E3C7F5D" w14:textId="11EEC3B7" w:rsidR="003D204E" w:rsidRPr="00D311F4" w:rsidRDefault="003D204E"/>
    <w:p w14:paraId="0FD70E69" w14:textId="48509E32" w:rsidR="003D204E" w:rsidRPr="00D311F4" w:rsidRDefault="003D204E"/>
    <w:p w14:paraId="57D1CC03" w14:textId="268C85DA" w:rsidR="003D204E" w:rsidRPr="00D311F4" w:rsidRDefault="003D204E"/>
    <w:p w14:paraId="0A78A11F" w14:textId="50C9CD1F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 xml:space="preserve">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D311F4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D311F4" w:rsidRPr="00D311F4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D311F4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D311F4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D311F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D311F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D311F4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634DB61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D311F4">
              <w:rPr>
                <w:rFonts w:ascii="Arial" w:hAnsi="Arial" w:cs="Arial"/>
                <w:sz w:val="14"/>
                <w:szCs w:val="14"/>
              </w:rPr>
              <w:t>00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D311F4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D311F4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D311F4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D311F4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20BE8D4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D311F4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</w:t>
      </w:r>
      <w:proofErr w:type="spellStart"/>
      <w:r w:rsidR="00D66A20"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="00D66A20"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F34557" w:rsidRPr="00D311F4" w:rsidRDefault="00F34557" w:rsidP="00F3455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4557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D311F4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D311F4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D311F4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D311F4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D311F4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D311F4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15, 16, 18, 24, 27, 30 do 40)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471C01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471C01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”of”/”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471C01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471C01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471C01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471C01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FA0B21" w14:textId="77777777" w:rsidTr="00471C01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471C01" w:rsidRPr="00D311F4" w:rsidRDefault="00471C01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B8D8FB4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19, 23)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19" w:type="dxa"/>
            <w:vAlign w:val="center"/>
          </w:tcPr>
          <w:p w14:paraId="6C486D89" w14:textId="0B5AC87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E1A4CD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19" w:type="dxa"/>
            <w:vAlign w:val="center"/>
          </w:tcPr>
          <w:p w14:paraId="7B94EFDF" w14:textId="34C9487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AF06CFE" w14:textId="77777777" w:rsidTr="00471C0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471C01" w:rsidRPr="00D311F4" w:rsidRDefault="00471C01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19" w:type="dxa"/>
            <w:vAlign w:val="center"/>
          </w:tcPr>
          <w:p w14:paraId="570E322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8D6AC2A" w14:textId="77777777" w:rsidTr="00471C0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19" w:type="dxa"/>
            <w:vAlign w:val="center"/>
          </w:tcPr>
          <w:p w14:paraId="5F63AEFE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D69A28" w14:textId="77777777" w:rsidTr="00471C0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19" w:type="dxa"/>
            <w:vAlign w:val="center"/>
          </w:tcPr>
          <w:p w14:paraId="6250C12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19" w:type="dxa"/>
            <w:vAlign w:val="center"/>
          </w:tcPr>
          <w:p w14:paraId="68BD4583" w14:textId="6F7C1102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25, 26)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19" w:type="dxa"/>
            <w:vAlign w:val="center"/>
          </w:tcPr>
          <w:p w14:paraId="4BC34D9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19" w:type="dxa"/>
            <w:vAlign w:val="center"/>
          </w:tcPr>
          <w:p w14:paraId="67B36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19" w:type="dxa"/>
            <w:vAlign w:val="center"/>
          </w:tcPr>
          <w:p w14:paraId="1443DF1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19" w:type="dxa"/>
            <w:vAlign w:val="center"/>
          </w:tcPr>
          <w:p w14:paraId="23D57C6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19" w:type="dxa"/>
            <w:vAlign w:val="center"/>
          </w:tcPr>
          <w:p w14:paraId="3A560BD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19" w:type="dxa"/>
            <w:vAlign w:val="center"/>
          </w:tcPr>
          <w:p w14:paraId="759A44A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19" w:type="dxa"/>
            <w:vAlign w:val="center"/>
          </w:tcPr>
          <w:p w14:paraId="0AEFD1AE" w14:textId="77FAA71E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19" w:type="dxa"/>
            <w:vAlign w:val="center"/>
          </w:tcPr>
          <w:p w14:paraId="632F0EA0" w14:textId="1DD42E1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19" w:type="dxa"/>
            <w:vAlign w:val="center"/>
          </w:tcPr>
          <w:p w14:paraId="06E07A3F" w14:textId="6FF9BA71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19" w:type="dxa"/>
            <w:vAlign w:val="center"/>
          </w:tcPr>
          <w:p w14:paraId="6DA0DC9F" w14:textId="5A726BD3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19" w:type="dxa"/>
            <w:vAlign w:val="center"/>
          </w:tcPr>
          <w:p w14:paraId="7A810C56" w14:textId="729F5158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19" w:type="dxa"/>
            <w:vAlign w:val="center"/>
          </w:tcPr>
          <w:p w14:paraId="211340CC" w14:textId="65009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19" w:type="dxa"/>
            <w:vAlign w:val="center"/>
          </w:tcPr>
          <w:p w14:paraId="535CFF9F" w14:textId="62FC59C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19" w:type="dxa"/>
            <w:vAlign w:val="center"/>
          </w:tcPr>
          <w:p w14:paraId="6921A500" w14:textId="44A3D375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19" w:type="dxa"/>
            <w:vAlign w:val="center"/>
          </w:tcPr>
          <w:p w14:paraId="4DA635EF" w14:textId="5BF3F7E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19" w:type="dxa"/>
            <w:vAlign w:val="center"/>
          </w:tcPr>
          <w:p w14:paraId="188C760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”of”/”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”of”/”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D311F4" w:rsidRPr="00D311F4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C886114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="00B3038C"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57E2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5630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D78C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8F23E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146195A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EB648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20B691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CADB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3645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A1447F" w:rsidRPr="00D311F4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1DB7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2E8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2650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F1397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4373E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763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146A3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03401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BF0E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27BF7AB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A1447F" w:rsidRPr="00D311F4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5617E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02D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90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621C3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34E029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D27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BDF806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4E134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46BAE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D311F4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D311F4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D311F4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D311F4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oraz po wydaniu postanowienia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D311F4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D311F4" w:rsidRDefault="00E41ABB" w:rsidP="00E41ABB"/>
    <w:p w14:paraId="31684600" w14:textId="77777777" w:rsidR="00E41ABB" w:rsidRPr="00D311F4" w:rsidRDefault="00E41ABB" w:rsidP="00E41ABB"/>
    <w:p w14:paraId="08524AB1" w14:textId="77777777" w:rsidR="00E41ABB" w:rsidRPr="00D311F4" w:rsidRDefault="00E41ABB" w:rsidP="00E41ABB"/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Załatwiono (w. 43 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D311F4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-K-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upr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D311F4" w:rsidRPr="00D311F4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-K-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upr</w:t>
                  </w:r>
                  <w:proofErr w:type="spellEnd"/>
                </w:p>
              </w:tc>
            </w:tr>
            <w:tr w:rsidR="00D311F4" w:rsidRPr="00D311F4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bez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„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zaskarżenia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D311F4" w:rsidRPr="00D311F4" w14:paraId="1EF13AD2" w14:textId="77777777" w:rsidTr="00EF354A">
              <w:trPr>
                <w:trHeight w:val="345"/>
              </w:trPr>
              <w:tc>
                <w:tcPr>
                  <w:tcW w:w="3254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9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1AA66C74" w14:textId="77777777" w:rsidTr="00EF354A">
              <w:trPr>
                <w:trHeight w:val="616"/>
              </w:trPr>
              <w:tc>
                <w:tcPr>
                  <w:tcW w:w="3254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7CE63B7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22" w:type="dxa"/>
                  <w:vAlign w:val="center"/>
                </w:tcPr>
                <w:p w14:paraId="2784546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578D31E0" w14:textId="77777777" w:rsidTr="00EF354A">
              <w:trPr>
                <w:trHeight w:val="171"/>
              </w:trPr>
              <w:tc>
                <w:tcPr>
                  <w:tcW w:w="3254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2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EF354A">
              <w:trPr>
                <w:trHeight w:val="371"/>
              </w:trPr>
              <w:tc>
                <w:tcPr>
                  <w:tcW w:w="2951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0EA3A6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15B69DEA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48D005C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7C74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D42D785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108FF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E4D76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709195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52236C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5436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5B835B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24B8A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FA11B4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B5AB04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83BD0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D311F4" w:rsidRDefault="00E41ABB" w:rsidP="00E41ABB"/>
    <w:p w14:paraId="6E83E2CF" w14:textId="77777777" w:rsidR="00E41ABB" w:rsidRPr="00D311F4" w:rsidRDefault="00E41ABB" w:rsidP="00E41ABB"/>
    <w:p w14:paraId="54A12445" w14:textId="77777777" w:rsidR="00E41ABB" w:rsidRPr="00D311F4" w:rsidRDefault="00E41ABB" w:rsidP="00E41ABB"/>
    <w:p w14:paraId="44F95BAF" w14:textId="77777777" w:rsidR="00E41ABB" w:rsidRPr="00D311F4" w:rsidRDefault="00E41ABB" w:rsidP="00E41ABB"/>
    <w:p w14:paraId="2D3F22A4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 xml:space="preserve">Dział 1.1.2.4.a. Skargi rozpoznawane przez sąd upadłościowy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D311F4" w:rsidRDefault="00E41ABB" w:rsidP="00E41ABB"/>
    <w:p w14:paraId="6D9131B4" w14:textId="77777777" w:rsidR="00E41ABB" w:rsidRPr="00D311F4" w:rsidRDefault="00E41ABB" w:rsidP="00E41ABB">
      <w:p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D311F4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D311F4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D311F4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FE96196" w14:textId="77777777" w:rsidR="00E41ABB" w:rsidRPr="00D311F4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D311F4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D311F4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D311F4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D311F4" w:rsidRPr="00D311F4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D311F4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11F4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Dział 1.1.2.11. Sprawy po otwarciu przyspieszonego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), wnioski o zatwierdzenie układu albo umorzenie postępowania w sprawach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.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-U)</w:t>
            </w:r>
          </w:p>
        </w:tc>
      </w:tr>
      <w:tr w:rsidR="00D311F4" w:rsidRPr="00D311F4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D311F4" w:rsidRPr="00D311F4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1.1.2.13.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2FD6810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&amp;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D311F4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D311F4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5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5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5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9E54F1">
        <w:trPr>
          <w:cantSplit/>
          <w:trHeight w:val="21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9E54F1">
        <w:trPr>
          <w:cantSplit/>
          <w:trHeight w:val="23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9E54F1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9E54F1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9E54F1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9E54F1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9E54F1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9E54F1">
        <w:trPr>
          <w:cantSplit/>
          <w:trHeight w:val="24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9E54F1">
        <w:trPr>
          <w:cantSplit/>
          <w:trHeight w:val="240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9E54F1">
        <w:trPr>
          <w:cantSplit/>
          <w:trHeight w:val="20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4C5421" w14:textId="77777777" w:rsidTr="009E54F1">
        <w:trPr>
          <w:cantSplit/>
          <w:trHeight w:val="25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C258D" w:rsidRPr="00D311F4" w:rsidRDefault="00EC258D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09231B6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46" w:type="dxa"/>
            <w:vAlign w:val="center"/>
          </w:tcPr>
          <w:p w14:paraId="72F28D1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9D2444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46" w:type="dxa"/>
            <w:vAlign w:val="center"/>
          </w:tcPr>
          <w:p w14:paraId="7233F46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43637EA" w14:textId="77777777" w:rsidTr="009E54F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C258D" w:rsidRPr="00D311F4" w:rsidRDefault="00EC258D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46" w:type="dxa"/>
            <w:vAlign w:val="center"/>
          </w:tcPr>
          <w:p w14:paraId="167E02F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20F748" w14:textId="77777777" w:rsidTr="009E54F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46" w:type="dxa"/>
            <w:vAlign w:val="center"/>
          </w:tcPr>
          <w:p w14:paraId="4EB4BE6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F54A64" w14:textId="77777777" w:rsidTr="009E54F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46" w:type="dxa"/>
            <w:vAlign w:val="center"/>
          </w:tcPr>
          <w:p w14:paraId="4D304F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7E4E54" w14:textId="77777777" w:rsidTr="009E54F1">
        <w:trPr>
          <w:cantSplit/>
          <w:trHeight w:val="19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46" w:type="dxa"/>
            <w:vAlign w:val="center"/>
          </w:tcPr>
          <w:p w14:paraId="02C350C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4C65B7" w14:textId="77777777" w:rsidTr="009E54F1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46" w:type="dxa"/>
            <w:vAlign w:val="center"/>
          </w:tcPr>
          <w:p w14:paraId="6B2609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96BF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46" w:type="dxa"/>
            <w:vAlign w:val="center"/>
          </w:tcPr>
          <w:p w14:paraId="74B91D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21B3B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46" w:type="dxa"/>
            <w:vAlign w:val="center"/>
          </w:tcPr>
          <w:p w14:paraId="269FC74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E9AB81B" w14:textId="77777777" w:rsidTr="009E54F1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46" w:type="dxa"/>
            <w:vAlign w:val="center"/>
          </w:tcPr>
          <w:p w14:paraId="0761BE2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808332D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46" w:type="dxa"/>
            <w:vAlign w:val="center"/>
          </w:tcPr>
          <w:p w14:paraId="790F02A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22B82E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46" w:type="dxa"/>
            <w:vAlign w:val="center"/>
          </w:tcPr>
          <w:p w14:paraId="014EA45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30E180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46" w:type="dxa"/>
            <w:vAlign w:val="center"/>
          </w:tcPr>
          <w:p w14:paraId="7B21F09B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018671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2336BB4A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E66A8B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E7995F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75EDD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2DAB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63042A7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46" w:type="dxa"/>
            <w:vAlign w:val="center"/>
          </w:tcPr>
          <w:p w14:paraId="4B5A9B57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E06390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FC705B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1EC997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A66A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9F450C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A16F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73B34F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46" w:type="dxa"/>
            <w:vAlign w:val="center"/>
          </w:tcPr>
          <w:p w14:paraId="0CD3457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01C309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4809BDE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7C517C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D9539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9208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52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30D3504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46" w:type="dxa"/>
            <w:vAlign w:val="center"/>
          </w:tcPr>
          <w:p w14:paraId="6662985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F7AAE1F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076D2C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C119CD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7AD4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FFA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28DA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D311F4" w:rsidRDefault="00E41ABB" w:rsidP="00E41ABB"/>
    <w:p w14:paraId="022CE926" w14:textId="77777777" w:rsidR="00E41ABB" w:rsidRPr="00D311F4" w:rsidRDefault="00E41ABB" w:rsidP="00E41ABB"/>
    <w:p w14:paraId="0FF91573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916" w:type="dxa"/>
        <w:tblInd w:w="-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36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795"/>
      </w:tblGrid>
      <w:tr w:rsidR="00D311F4" w:rsidRPr="00D311F4" w14:paraId="6770790B" w14:textId="77777777" w:rsidTr="00EC258D">
        <w:trPr>
          <w:cantSplit/>
          <w:trHeight w:val="229"/>
        </w:trPr>
        <w:tc>
          <w:tcPr>
            <w:tcW w:w="5331" w:type="dxa"/>
            <w:gridSpan w:val="2"/>
            <w:vMerge w:val="restart"/>
            <w:vAlign w:val="center"/>
          </w:tcPr>
          <w:p w14:paraId="7FA8801D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585" w:type="dxa"/>
            <w:gridSpan w:val="12"/>
            <w:vAlign w:val="center"/>
          </w:tcPr>
          <w:p w14:paraId="24D701E5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0BEA8B1C" w14:textId="77777777" w:rsidTr="00EC258D">
        <w:trPr>
          <w:cantSplit/>
          <w:trHeight w:val="578"/>
        </w:trPr>
        <w:tc>
          <w:tcPr>
            <w:tcW w:w="5331" w:type="dxa"/>
            <w:gridSpan w:val="2"/>
            <w:vMerge/>
            <w:vAlign w:val="center"/>
          </w:tcPr>
          <w:p w14:paraId="60E08671" w14:textId="77777777" w:rsidR="00387BBE" w:rsidRPr="00D311F4" w:rsidRDefault="00387BBE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0928906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0" w:type="dxa"/>
            <w:vAlign w:val="center"/>
          </w:tcPr>
          <w:p w14:paraId="7146536D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0" w:type="dxa"/>
            <w:vAlign w:val="center"/>
          </w:tcPr>
          <w:p w14:paraId="31FB7F20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0" w:type="dxa"/>
            <w:vAlign w:val="center"/>
          </w:tcPr>
          <w:p w14:paraId="1848B24A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0" w:type="dxa"/>
            <w:vAlign w:val="center"/>
          </w:tcPr>
          <w:p w14:paraId="37EC752F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0" w:type="dxa"/>
            <w:vAlign w:val="center"/>
          </w:tcPr>
          <w:p w14:paraId="05585DAD" w14:textId="58A6175D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Suma powyżej 12 miesięcy (suma kol. od 7 do </w:t>
            </w:r>
            <w:r w:rsidR="00EC258D" w:rsidRPr="00D311F4">
              <w:rPr>
                <w:rFonts w:ascii="Arial Narrow" w:hAnsi="Arial Narrow"/>
                <w:sz w:val="14"/>
                <w:szCs w:val="14"/>
              </w:rPr>
              <w:t>9</w:t>
            </w:r>
            <w:r w:rsidRPr="00D311F4">
              <w:rPr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890" w:type="dxa"/>
            <w:vAlign w:val="center"/>
          </w:tcPr>
          <w:p w14:paraId="2A0E61E8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04CED3A2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644DD3C" w14:textId="1479EED0" w:rsidR="00387BBE" w:rsidRPr="00D311F4" w:rsidRDefault="00387BBE" w:rsidP="00387BBE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0" w:type="dxa"/>
            <w:vAlign w:val="center"/>
          </w:tcPr>
          <w:p w14:paraId="0D9992DF" w14:textId="5915D979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0" w:type="dxa"/>
            <w:vAlign w:val="center"/>
          </w:tcPr>
          <w:p w14:paraId="57A41E25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95" w:type="dxa"/>
            <w:vAlign w:val="center"/>
          </w:tcPr>
          <w:p w14:paraId="4E2566EE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4F14D60F" w14:textId="77777777" w:rsidTr="00EC258D">
        <w:trPr>
          <w:cantSplit/>
          <w:trHeight w:val="136"/>
        </w:trPr>
        <w:tc>
          <w:tcPr>
            <w:tcW w:w="5331" w:type="dxa"/>
            <w:gridSpan w:val="2"/>
            <w:vAlign w:val="center"/>
          </w:tcPr>
          <w:p w14:paraId="3FE7720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0" w:type="dxa"/>
            <w:vAlign w:val="center"/>
          </w:tcPr>
          <w:p w14:paraId="2D0F8ED4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0" w:type="dxa"/>
            <w:vAlign w:val="center"/>
          </w:tcPr>
          <w:p w14:paraId="48E72BA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0" w:type="dxa"/>
            <w:vAlign w:val="center"/>
          </w:tcPr>
          <w:p w14:paraId="6781F72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0" w:type="dxa"/>
            <w:vAlign w:val="center"/>
          </w:tcPr>
          <w:p w14:paraId="7FF2DB4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0" w:type="dxa"/>
            <w:vAlign w:val="center"/>
          </w:tcPr>
          <w:p w14:paraId="22D2D2F0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0" w:type="dxa"/>
            <w:vAlign w:val="center"/>
          </w:tcPr>
          <w:p w14:paraId="0CF3182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0" w:type="dxa"/>
            <w:vAlign w:val="center"/>
          </w:tcPr>
          <w:p w14:paraId="64F37221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A6E3886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BA4A5AE" w14:textId="46A0080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vAlign w:val="center"/>
          </w:tcPr>
          <w:p w14:paraId="217B5309" w14:textId="2618E29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0" w:type="dxa"/>
            <w:vAlign w:val="center"/>
          </w:tcPr>
          <w:p w14:paraId="132D3865" w14:textId="2014932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5" w:type="dxa"/>
            <w:vAlign w:val="center"/>
          </w:tcPr>
          <w:p w14:paraId="48D9300A" w14:textId="3EED78B8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043E8FDD" w14:textId="77777777" w:rsidTr="00EC258D">
        <w:trPr>
          <w:cantSplit/>
          <w:trHeight w:val="340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D64E2E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2618F8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0" w:type="dxa"/>
            <w:vAlign w:val="center"/>
          </w:tcPr>
          <w:p w14:paraId="03CB551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A8CAF5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22FA83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546F3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73B5DE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2B8F623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6B7509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19A7ED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FA881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004EAE" w14:textId="4E785FA8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9D71D8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93FC2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DBF2A4" w14:textId="77777777" w:rsidTr="00EC258D">
        <w:trPr>
          <w:cantSplit/>
          <w:trHeight w:val="326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F21BD44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C66CB7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0" w:type="dxa"/>
            <w:vAlign w:val="center"/>
          </w:tcPr>
          <w:p w14:paraId="0E97A41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A7DD6F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ABF9A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9539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BF9ED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453E2F3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DA6544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0FB24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9C6AA4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DB1F35E" w14:textId="346820F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ED241C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32470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B725644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2F87DA1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1F873A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0" w:type="dxa"/>
            <w:vAlign w:val="center"/>
          </w:tcPr>
          <w:p w14:paraId="637A02F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5AD1B9F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AD9187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58B98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76E9360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78189D1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350808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225FCC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5DDB7B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02E9412" w14:textId="7438107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5F3636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5398A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B2CB3BF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3C6428FF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985A49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0" w:type="dxa"/>
            <w:vAlign w:val="center"/>
          </w:tcPr>
          <w:p w14:paraId="4708FD0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EE058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C146D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4C72A1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7A60CC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5845A5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2DEC2F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6EA046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334558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AB79D44" w14:textId="72FB713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1190CE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90FB8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863122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F571C8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0" w:type="dxa"/>
            <w:vAlign w:val="center"/>
          </w:tcPr>
          <w:p w14:paraId="1BEF275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40C5E1F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27AB00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7BEBF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BCE003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8EC017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10051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44C01D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4E41B2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EF9AEE" w14:textId="45E2B26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D175FD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4C3E0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3B282D0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4B87BDC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0" w:type="dxa"/>
            <w:vAlign w:val="center"/>
          </w:tcPr>
          <w:p w14:paraId="64749E5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8EBF79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85BF8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911AB4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5E4D20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365B485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6F20E1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F143B5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44048BA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635330C" w14:textId="186DB6A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1F447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5F22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0EC3BC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2F438D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0" w:type="dxa"/>
            <w:vAlign w:val="center"/>
          </w:tcPr>
          <w:p w14:paraId="4E355C3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0203240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1E34B3E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6E6085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1DBF67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0E8BC1F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9C450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0109E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3A7400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88CD66D" w14:textId="72E343A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E0B152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A372EE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0BC12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1268E7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0" w:type="dxa"/>
            <w:vAlign w:val="center"/>
          </w:tcPr>
          <w:p w14:paraId="604F617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05B4C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A3F8F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29405A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3A8FE21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52A0F8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9A1A7B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19AB3D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6EE87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96B7E74" w14:textId="5C74730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BDF145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81C0C2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A3F03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58FE1F2E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DBD267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C790F9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B584A4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527777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61FD87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EC12AC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392AEF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17FEDBD" w14:textId="35DABE8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3D057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162734" w14:textId="7777777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783E0693" w14:textId="77777777" w:rsidR="00E41ABB" w:rsidRPr="00D311F4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do 1 </w:t>
            </w:r>
            <w:proofErr w:type="spellStart"/>
            <w:r w:rsidRPr="00D311F4">
              <w:rPr>
                <w:rFonts w:ascii="Arial" w:hAnsi="Arial" w:cs="Arial"/>
                <w:sz w:val="14"/>
                <w:szCs w:val="20"/>
              </w:rPr>
              <w:t>mies</w:t>
            </w:r>
            <w:proofErr w:type="spellEnd"/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Wyszczególnienie podmiotów według formy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po ogłoszeniu upadłości, postępowania o zatwierdzenie układu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lub postępowania restrukturyzacyjne (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="00B3038C"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8966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3C4E0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B4F2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68130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8AF1C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F3D10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A806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1D15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D24D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E41ABB" w:rsidRPr="00D311F4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EC759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6874C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4DC5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9604F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487D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0CED5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F909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F2363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1754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412EC3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E41ABB" w:rsidRPr="00D311F4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B7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C8978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A36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0E8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6CA6A1F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A18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55D7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41AF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F5719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Dział 4.2. Kontrolka skarg (w wydziale, którego  sprawy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D311F4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D311F4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D311F4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008480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4023F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754AF6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1F4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D311F4" w:rsidRPr="00D311F4" w14:paraId="55ADBD4A" w14:textId="77777777" w:rsidTr="00E41ABB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1509C5C3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6C3B52C5" w14:textId="77777777" w:rsidR="00E41ABB" w:rsidRPr="00D311F4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3AE34FD8" w14:textId="77777777" w:rsidR="00E41ABB" w:rsidRPr="00D311F4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</w:p>
          <w:p w14:paraId="3D7AEA1C" w14:textId="77777777" w:rsidR="00E41ABB" w:rsidRPr="00D311F4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średniookresowa</w:t>
            </w:r>
          </w:p>
          <w:p w14:paraId="2F740971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19B02A7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02C188E7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D311F4" w:rsidRPr="00D311F4" w14:paraId="4B44BDC0" w14:textId="77777777" w:rsidTr="00E41ABB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0EC3477F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749A856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66FD08C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144689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7104412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0FC28ACD" w14:textId="77777777" w:rsidTr="00E41ABB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5BBFCC38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680A58E8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7001B0F1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0BEE06A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816312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3052642" w14:textId="77777777" w:rsidTr="00E41ABB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05D0E16C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3964B18B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66FBFC02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6BFFC2BF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4DDF1A6A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327A8F2" w14:textId="77777777" w:rsidTr="00E41ABB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346C90CE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3FBFC16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3502BC3F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4FC981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962ECEA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4A83D71" w14:textId="77777777" w:rsidTr="00E41ABB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E41ABB" w:rsidRPr="00D311F4" w:rsidRDefault="00E41ABB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7D80CB8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510C6330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6346195A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134787A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B27F2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2E4B700" w:rsidR="00E41ABB" w:rsidRPr="00D311F4" w:rsidRDefault="00342702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21.05pt;margin-top:9.3pt;width:363.1pt;height:153pt;z-index:251658240;mso-position-horizontal-relative:text;mso-position-vertical-relative:text" filled="f" stroked="f">
            <v:textbox style="mso-next-textbox:#_x0000_s1052">
              <w:txbxContent>
                <w:p w14:paraId="66263B05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D17336" w:rsidRPr="00287DBA" w:rsidRDefault="00D17336" w:rsidP="0082429D">
                  <w:pPr>
                    <w:rPr>
                      <w:rFonts w:ascii="Arial" w:hAnsi="Arial" w:cs="Arial"/>
                    </w:rPr>
                  </w:pPr>
                  <w:r w:rsidRPr="00287DBA">
                    <w:rPr>
                      <w:rFonts w:ascii="Arial" w:hAnsi="Arial" w:cs="Arial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7203AD3" w14:textId="77777777" w:rsidR="00CD1DA2" w:rsidRPr="00D311F4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D311F4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311F4">
        <w:rPr>
          <w:rFonts w:cs="Arial"/>
          <w:b/>
          <w:bCs/>
          <w:color w:val="auto"/>
          <w:sz w:val="20"/>
        </w:rPr>
        <w:t>Objaśnienia do formularza MS-S20UN</w:t>
      </w:r>
    </w:p>
    <w:p w14:paraId="7C112800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>Dział. 1.1.1.</w:t>
      </w:r>
    </w:p>
    <w:p w14:paraId="39387BD7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02, 09, 16, 23 ,27,31,36 należy wykazać wszystkie sprawy z wymienionych repertoriów i kontrolek, łącznie ze sprawami oznaczonymi literowo „of”.</w:t>
      </w:r>
    </w:p>
    <w:p w14:paraId="46F3BA0D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03-07, 10-11, 17-20, 25,28,32 i 37  należy wykazać sprawy z wymienionych repertoriów i kontrolek bez uwzględnienia spraw oznaczonych literowo „of”.</w:t>
      </w:r>
    </w:p>
    <w:p w14:paraId="0F35617D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08,12,21,26,29,33 i 38 należy wykazać sprawy z wymienionych repertoriów i kontrolek oznaczone literowo „of”.</w:t>
      </w:r>
    </w:p>
    <w:p w14:paraId="0DE9A6F2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7B63DAC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0568CC53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Załatwienia wykazane w działach od 1.1.2.1. do 1.1.2.4. i 1.1.2.5 do 1.1.2.7 powinny odpowiadać wartościom </w:t>
      </w:r>
      <w:proofErr w:type="spellStart"/>
      <w:r w:rsidRPr="00D311F4">
        <w:rPr>
          <w:rFonts w:cs="Arial"/>
          <w:bCs/>
          <w:color w:val="auto"/>
          <w:sz w:val="18"/>
          <w:szCs w:val="18"/>
        </w:rPr>
        <w:t>załatwień</w:t>
      </w:r>
      <w:proofErr w:type="spellEnd"/>
      <w:r w:rsidRPr="00D311F4">
        <w:rPr>
          <w:rFonts w:cs="Arial"/>
          <w:bCs/>
          <w:color w:val="auto"/>
          <w:sz w:val="18"/>
          <w:szCs w:val="18"/>
        </w:rPr>
        <w:t xml:space="preserve"> wykazanych w dziale 1.1.1. w  kolumnie 5.</w:t>
      </w:r>
    </w:p>
    <w:p w14:paraId="207341A7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</w:t>
      </w:r>
      <w:proofErr w:type="spellStart"/>
      <w:r w:rsidRPr="00D311F4">
        <w:rPr>
          <w:rFonts w:cs="Arial"/>
          <w:bCs/>
          <w:color w:val="auto"/>
          <w:sz w:val="18"/>
          <w:szCs w:val="18"/>
        </w:rPr>
        <w:t>załatwień</w:t>
      </w:r>
      <w:proofErr w:type="spellEnd"/>
      <w:r w:rsidRPr="00D311F4">
        <w:rPr>
          <w:rFonts w:cs="Arial"/>
          <w:bCs/>
          <w:color w:val="auto"/>
          <w:sz w:val="18"/>
          <w:szCs w:val="18"/>
        </w:rPr>
        <w:t xml:space="preserve"> spraw z wymienionych  repertoriów i kontrolek odpowiednio: bez uwzględnienia spraw oznaczonych literowo „of” (kol. 2) bądź samych spraw oznaczonych literowo „of” (kol. 3). </w:t>
      </w:r>
    </w:p>
    <w:p w14:paraId="00AA71AC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25D78A55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0C9BCA9B" w14:textId="599397B4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wierszu 16 wykazujemy wszystkie przerejestrowania do jakich ewentualnie doszło w wyniku wprowadzenia systemu wspólnego wpływu spraw na pion (§ 77 ust 2 Regulaminu). </w:t>
      </w:r>
    </w:p>
    <w:p w14:paraId="4FB863A4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 w:rsidRPr="00D311F4">
        <w:rPr>
          <w:rFonts w:ascii="Arial" w:hAnsi="Arial" w:cs="Arial"/>
          <w:sz w:val="18"/>
          <w:szCs w:val="18"/>
          <w:u w:val="single"/>
        </w:rPr>
        <w:t>w ramach tego samego sądu</w:t>
      </w:r>
      <w:r w:rsidRPr="00D311F4"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 w:rsidRPr="00D311F4">
        <w:rPr>
          <w:rFonts w:ascii="Arial" w:hAnsi="Arial" w:cs="Arial"/>
          <w:sz w:val="18"/>
          <w:szCs w:val="18"/>
          <w:u w:val="single"/>
        </w:rPr>
        <w:t>do innego sądu</w:t>
      </w:r>
      <w:r w:rsidRPr="00D311F4"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 w:rsidRPr="00D311F4">
        <w:rPr>
          <w:rFonts w:ascii="Arial" w:hAnsi="Arial" w:cs="Arial"/>
          <w:bCs/>
          <w:sz w:val="18"/>
          <w:szCs w:val="18"/>
        </w:rPr>
        <w:t xml:space="preserve"> </w:t>
      </w:r>
    </w:p>
    <w:p w14:paraId="6FD3616B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1B4D33B8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700C0151" w14:textId="324F0DFB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W wierszu 1</w:t>
      </w:r>
      <w:r w:rsidR="005859A2" w:rsidRPr="00D311F4">
        <w:rPr>
          <w:rFonts w:ascii="Arial" w:hAnsi="Arial" w:cs="Arial"/>
          <w:bCs/>
          <w:sz w:val="18"/>
          <w:szCs w:val="18"/>
        </w:rPr>
        <w:t>6</w:t>
      </w:r>
      <w:r w:rsidRPr="00D311F4">
        <w:rPr>
          <w:rFonts w:ascii="Arial" w:hAnsi="Arial" w:cs="Arial"/>
          <w:bCs/>
          <w:sz w:val="18"/>
          <w:szCs w:val="18"/>
        </w:rPr>
        <w:t xml:space="preserve"> wykazujemy wszystkie załatwienia do jakich ewentualnie doszło w wyniku wprowadzenia systemu wspólnego wpływu spraw na pion (§ 77 ust 2 Regulaminu). </w:t>
      </w:r>
    </w:p>
    <w:p w14:paraId="179B843A" w14:textId="77777777" w:rsidR="00C51FB6" w:rsidRPr="00D311F4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Dział 1.2.1</w:t>
      </w:r>
    </w:p>
    <w:p w14:paraId="442C6C07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 w:rsidRPr="00D311F4">
        <w:rPr>
          <w:rFonts w:ascii="Arial" w:hAnsi="Arial" w:cs="Arial"/>
          <w:bCs/>
          <w:sz w:val="18"/>
          <w:szCs w:val="18"/>
          <w:u w:val="single"/>
        </w:rPr>
        <w:t>wszystkich</w:t>
      </w:r>
      <w:r w:rsidRPr="00D311F4"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 w:rsidRPr="00D311F4"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 w:rsidRPr="00D311F4"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 w:rsidRPr="00D311F4"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 w:rsidRPr="00D311F4"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773922E7" w14:textId="77777777" w:rsidR="00C51FB6" w:rsidRPr="00D311F4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</w:t>
      </w:r>
      <w:proofErr w:type="spellStart"/>
      <w:r w:rsidRPr="00D311F4">
        <w:rPr>
          <w:rFonts w:ascii="Arial" w:hAnsi="Arial" w:cs="Arial"/>
          <w:sz w:val="18"/>
          <w:szCs w:val="18"/>
        </w:rPr>
        <w:t>wyznaczeń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(danego wydziału, pionu, sądu).  </w:t>
      </w:r>
    </w:p>
    <w:p w14:paraId="65FCFA5E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</w:t>
      </w:r>
      <w:proofErr w:type="spellStart"/>
      <w:r w:rsidRPr="00D311F4">
        <w:rPr>
          <w:rFonts w:ascii="Arial" w:hAnsi="Arial" w:cs="Arial"/>
          <w:sz w:val="18"/>
          <w:szCs w:val="18"/>
        </w:rPr>
        <w:t>niefunkcyjnego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351DCB21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Przykładowo sędzia </w:t>
      </w:r>
      <w:proofErr w:type="spellStart"/>
      <w:r w:rsidRPr="00D311F4">
        <w:rPr>
          <w:rFonts w:ascii="Arial" w:hAnsi="Arial" w:cs="Arial"/>
          <w:sz w:val="18"/>
          <w:szCs w:val="18"/>
        </w:rPr>
        <w:t>niefunkcyjny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 w:rsidRPr="00D311F4">
        <w:rPr>
          <w:rFonts w:ascii="Arial" w:hAnsi="Arial" w:cs="Arial"/>
          <w:sz w:val="18"/>
          <w:szCs w:val="18"/>
        </w:rPr>
        <w:t>niefunkcyjny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w pierwszym z nich.  </w:t>
      </w:r>
    </w:p>
    <w:p w14:paraId="530688CE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11F4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3CBB1C2E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11F4">
        <w:rPr>
          <w:rFonts w:ascii="Arial" w:hAnsi="Arial" w:cs="Arial"/>
          <w:bCs/>
          <w:sz w:val="14"/>
          <w:szCs w:val="18"/>
        </w:rPr>
        <w:t xml:space="preserve"> </w:t>
      </w:r>
    </w:p>
    <w:p w14:paraId="7134E647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15731C45" w14:textId="77777777" w:rsidR="00C51FB6" w:rsidRPr="00D311F4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Dział 1.2.2</w:t>
      </w:r>
    </w:p>
    <w:p w14:paraId="7C103AE2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</w:t>
      </w:r>
      <w:proofErr w:type="spellStart"/>
      <w:r w:rsidRPr="00D311F4">
        <w:rPr>
          <w:rFonts w:ascii="Arial" w:hAnsi="Arial" w:cs="Arial"/>
          <w:bCs/>
          <w:sz w:val="18"/>
          <w:szCs w:val="18"/>
        </w:rPr>
        <w:t>załatwień</w:t>
      </w:r>
      <w:proofErr w:type="spellEnd"/>
      <w:r w:rsidRPr="00D311F4">
        <w:rPr>
          <w:rFonts w:ascii="Arial" w:hAnsi="Arial" w:cs="Arial"/>
          <w:bCs/>
          <w:sz w:val="18"/>
          <w:szCs w:val="18"/>
        </w:rPr>
        <w:t xml:space="preserve">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15AFFCAC" w14:textId="77777777" w:rsidR="00C51FB6" w:rsidRPr="00D311F4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</w:t>
      </w:r>
      <w:proofErr w:type="spellStart"/>
      <w:r w:rsidRPr="00D311F4">
        <w:rPr>
          <w:rFonts w:ascii="Arial" w:hAnsi="Arial" w:cs="Arial"/>
          <w:sz w:val="18"/>
          <w:szCs w:val="18"/>
        </w:rPr>
        <w:t>załatwień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(danego wydziału, pionu, sądu).  </w:t>
      </w:r>
    </w:p>
    <w:p w14:paraId="1B7CFCAC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</w:t>
      </w:r>
      <w:proofErr w:type="spellStart"/>
      <w:r w:rsidRPr="00D311F4">
        <w:rPr>
          <w:rFonts w:ascii="Arial" w:hAnsi="Arial" w:cs="Arial"/>
          <w:sz w:val="18"/>
          <w:szCs w:val="18"/>
        </w:rPr>
        <w:t>niefunkcyjnego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24F61014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lastRenderedPageBreak/>
        <w:t xml:space="preserve">Przykładowo sędzia </w:t>
      </w:r>
      <w:proofErr w:type="spellStart"/>
      <w:r w:rsidRPr="00D311F4">
        <w:rPr>
          <w:rFonts w:ascii="Arial" w:hAnsi="Arial" w:cs="Arial"/>
          <w:sz w:val="18"/>
          <w:szCs w:val="18"/>
        </w:rPr>
        <w:t>niefunkcyjny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 w:rsidRPr="00D311F4">
        <w:rPr>
          <w:rFonts w:ascii="Arial" w:hAnsi="Arial" w:cs="Arial"/>
          <w:sz w:val="18"/>
          <w:szCs w:val="18"/>
        </w:rPr>
        <w:t>niefunkcyjny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w pierwszym z nich.  </w:t>
      </w:r>
    </w:p>
    <w:p w14:paraId="0ED38E95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11F4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6511B043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11F4">
        <w:rPr>
          <w:rFonts w:ascii="Arial" w:hAnsi="Arial" w:cs="Arial"/>
          <w:bCs/>
          <w:sz w:val="14"/>
          <w:szCs w:val="18"/>
        </w:rPr>
        <w:t xml:space="preserve"> </w:t>
      </w:r>
    </w:p>
    <w:p w14:paraId="72A3D4C7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1226B95A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72A16A43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357691DD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20C69923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7DEDA2FC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2092A47F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34BD54DC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2.1.2. </w:t>
      </w:r>
    </w:p>
    <w:p w14:paraId="5E6D42A7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ten dotyczy wszystkich spraw zakreślonych w wyniku zawieszenia postępowania i dotyczy spraw zawieszonych, niezależnie od daty zawieszenia (a więc dotyczy okresów sprzed nowelizacji </w:t>
      </w:r>
      <w:proofErr w:type="spellStart"/>
      <w:r w:rsidRPr="00D311F4">
        <w:rPr>
          <w:rFonts w:ascii="Arial" w:hAnsi="Arial" w:cs="Arial"/>
          <w:sz w:val="18"/>
          <w:szCs w:val="18"/>
        </w:rPr>
        <w:t>kpc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dokonanej w dniu 5 lutego 2005 r. , jak i po nowelizacji). Okres zawieszenia liczymy od daty pierwszego wpływu sprawy.  Jeżeli do zawieszenia doszło w stanie prawnym po dniu 5 lutego 2005 r. wykazuje się tylko sprawy zawieszone i zakreślone na podstawie art. 174 pkt 1 i 4 </w:t>
      </w:r>
      <w:proofErr w:type="spellStart"/>
      <w:r w:rsidRPr="00D311F4">
        <w:rPr>
          <w:rFonts w:ascii="Arial" w:hAnsi="Arial" w:cs="Arial"/>
          <w:sz w:val="18"/>
          <w:szCs w:val="18"/>
        </w:rPr>
        <w:t>kpc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(§ 124 zarządzenia MS o biurowości). Sprawy zawieszone, które zostały umorzone (np. wobec upływu czasu na podstawie art. 182 § 1 </w:t>
      </w:r>
      <w:proofErr w:type="spellStart"/>
      <w:r w:rsidRPr="00D311F4">
        <w:rPr>
          <w:rFonts w:ascii="Arial" w:hAnsi="Arial" w:cs="Arial"/>
          <w:sz w:val="18"/>
          <w:szCs w:val="18"/>
        </w:rPr>
        <w:t>kpc</w:t>
      </w:r>
      <w:proofErr w:type="spellEnd"/>
      <w:r w:rsidRPr="00D311F4">
        <w:rPr>
          <w:rFonts w:ascii="Arial" w:hAnsi="Arial" w:cs="Arial"/>
          <w:sz w:val="18"/>
          <w:szCs w:val="18"/>
        </w:rPr>
        <w:t>) powinny zostać wykazane , jako zakończone w dziale ewidencyjnym, o ile wcześniej nie zostały zakreślone i wykazane w kolumnie „ inne załatwienia”.</w:t>
      </w:r>
    </w:p>
    <w:p w14:paraId="20A2EC7E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25575FDD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Dział 2.2</w:t>
      </w:r>
    </w:p>
    <w:p w14:paraId="24055CB5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7CC240CD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433CE964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12D270FB" w14:textId="77777777" w:rsidR="00C51FB6" w:rsidRPr="00D311F4" w:rsidRDefault="00C51FB6" w:rsidP="00C51FB6">
      <w:pPr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 w:rsidRPr="00D311F4"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6C699FDD" w14:textId="77777777" w:rsidR="00C51FB6" w:rsidRPr="00D311F4" w:rsidRDefault="00C51FB6" w:rsidP="00C51FB6">
      <w:pPr>
        <w:jc w:val="both"/>
        <w:rPr>
          <w:rFonts w:ascii="Arial" w:hAnsi="Arial" w:cs="Arial"/>
          <w:sz w:val="18"/>
          <w:szCs w:val="18"/>
        </w:rPr>
      </w:pPr>
    </w:p>
    <w:p w14:paraId="2B26BF9F" w14:textId="77777777" w:rsidR="00C51FB6" w:rsidRPr="00D311F4" w:rsidRDefault="00C51FB6" w:rsidP="00C51FB6">
      <w:pPr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Dział 4.1</w:t>
      </w:r>
    </w:p>
    <w:p w14:paraId="0892049E" w14:textId="77777777" w:rsidR="00C51FB6" w:rsidRPr="00D311F4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ten wypełnia wydział </w:t>
      </w:r>
      <w:proofErr w:type="spellStart"/>
      <w:r w:rsidRPr="00D311F4">
        <w:rPr>
          <w:rFonts w:ascii="Arial" w:hAnsi="Arial" w:cs="Arial"/>
          <w:sz w:val="18"/>
          <w:szCs w:val="18"/>
        </w:rPr>
        <w:t>pierwszoinstancyjny</w:t>
      </w:r>
      <w:proofErr w:type="spellEnd"/>
      <w:r w:rsidRPr="00D311F4">
        <w:rPr>
          <w:rFonts w:ascii="Arial" w:hAnsi="Arial" w:cs="Arial"/>
          <w:sz w:val="18"/>
          <w:szCs w:val="18"/>
        </w:rPr>
        <w:t xml:space="preserve"> i wykazuje sprawy przekazane w okresie statystycznym do wydziału </w:t>
      </w:r>
      <w:proofErr w:type="spellStart"/>
      <w:r w:rsidRPr="00D311F4">
        <w:rPr>
          <w:rFonts w:ascii="Arial" w:hAnsi="Arial" w:cs="Arial"/>
          <w:sz w:val="18"/>
          <w:szCs w:val="18"/>
        </w:rPr>
        <w:t>drugoinstancyjnego</w:t>
      </w:r>
      <w:proofErr w:type="spellEnd"/>
      <w:r w:rsidRPr="00D311F4">
        <w:rPr>
          <w:rFonts w:ascii="Arial" w:hAnsi="Arial" w:cs="Arial"/>
          <w:sz w:val="18"/>
          <w:szCs w:val="18"/>
        </w:rPr>
        <w:t>.</w:t>
      </w:r>
    </w:p>
    <w:p w14:paraId="64C7CA4F" w14:textId="77777777" w:rsidR="00C51FB6" w:rsidRPr="00D311F4" w:rsidRDefault="00C51FB6" w:rsidP="00C51FB6">
      <w:pPr>
        <w:outlineLvl w:val="0"/>
        <w:rPr>
          <w:rFonts w:ascii="Arial" w:hAnsi="Arial" w:cs="Arial"/>
          <w:sz w:val="16"/>
          <w:szCs w:val="16"/>
        </w:rPr>
      </w:pPr>
      <w:r w:rsidRPr="00D311F4">
        <w:rPr>
          <w:rFonts w:ascii="Arial" w:hAnsi="Arial" w:cs="Arial"/>
          <w:sz w:val="16"/>
          <w:szCs w:val="16"/>
        </w:rPr>
        <w:t xml:space="preserve"> </w:t>
      </w:r>
    </w:p>
    <w:p w14:paraId="5FA91948" w14:textId="77777777" w:rsidR="00C51FB6" w:rsidRPr="00D311F4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11F4">
        <w:rPr>
          <w:rFonts w:cs="Arial"/>
          <w:color w:val="auto"/>
          <w:sz w:val="18"/>
          <w:szCs w:val="18"/>
        </w:rPr>
        <w:t>Dział 5.1 i 5.2</w:t>
      </w:r>
    </w:p>
    <w:p w14:paraId="753BBE2A" w14:textId="77777777" w:rsidR="00C51FB6" w:rsidRPr="00D311F4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11F4"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33E84283" w14:textId="77777777" w:rsidR="008643E2" w:rsidRPr="00D311F4" w:rsidRDefault="008643E2" w:rsidP="008643E2">
      <w:pPr>
        <w:rPr>
          <w:rFonts w:ascii="Arial" w:hAnsi="Arial" w:cs="Arial"/>
          <w:bCs/>
          <w:sz w:val="18"/>
          <w:szCs w:val="18"/>
        </w:rPr>
      </w:pPr>
      <w:bookmarkStart w:id="7" w:name="_Hlk58479734"/>
      <w:r w:rsidRPr="00D311F4">
        <w:rPr>
          <w:rFonts w:ascii="Arial" w:hAnsi="Arial" w:cs="Arial"/>
          <w:bCs/>
          <w:sz w:val="18"/>
          <w:szCs w:val="18"/>
        </w:rPr>
        <w:t xml:space="preserve">Dział 5.1.a. </w:t>
      </w:r>
    </w:p>
    <w:p w14:paraId="704C59B4" w14:textId="77777777" w:rsidR="008643E2" w:rsidRPr="00D311F4" w:rsidRDefault="008643E2" w:rsidP="008643E2">
      <w:pPr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Wykazujemy sesje analogicznie jak w dziale 5.1 Sędziów delegowanych pełniących  funkcje należy wykazać w kolumnach 6,7,8 jako sędziów delegowanych a nie funkcyjnych danego sądu.</w:t>
      </w:r>
    </w:p>
    <w:bookmarkEnd w:id="7"/>
    <w:p w14:paraId="0FFB3763" w14:textId="77777777" w:rsidR="00C51FB6" w:rsidRPr="00D311F4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33889A9F" w14:textId="77777777" w:rsidR="00C51FB6" w:rsidRPr="00D311F4" w:rsidRDefault="00C51FB6" w:rsidP="00C51FB6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6CEF78E4" w14:textId="77777777" w:rsidR="00EE2FAB" w:rsidRPr="00D311F4" w:rsidRDefault="00EE2FAB" w:rsidP="00C51FB6">
      <w:pPr>
        <w:jc w:val="both"/>
        <w:rPr>
          <w:rFonts w:ascii="Arial" w:hAnsi="Arial" w:cs="Arial"/>
          <w:sz w:val="18"/>
          <w:szCs w:val="18"/>
        </w:rPr>
      </w:pPr>
    </w:p>
    <w:p w14:paraId="1C85663C" w14:textId="72B38B2F" w:rsidR="00C51FB6" w:rsidRPr="00D311F4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6.2. </w:t>
      </w:r>
      <w:r w:rsidRPr="00D311F4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3AADB4DB" w14:textId="77777777" w:rsidR="00192B97" w:rsidRPr="00D311F4" w:rsidRDefault="00192B97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sectPr w:rsidR="00192B97" w:rsidRPr="00D311F4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F05C0"/>
    <w:rsid w:val="000F5227"/>
    <w:rsid w:val="000F55AC"/>
    <w:rsid w:val="000F5B9A"/>
    <w:rsid w:val="000F7F39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16ED1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2702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63F6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503E"/>
    <w:rsid w:val="004677BF"/>
    <w:rsid w:val="00470582"/>
    <w:rsid w:val="00471C01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2FF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38C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176CC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BC2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F0A72"/>
    <w:rsid w:val="00EF342B"/>
    <w:rsid w:val="00EF354A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37</Pages>
  <Words>14846</Words>
  <Characters>89076</Characters>
  <Application>Microsoft Office Word</Application>
  <DocSecurity>0</DocSecurity>
  <Lines>742</Lines>
  <Paragraphs>207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101</cp:revision>
  <cp:lastPrinted>2020-03-05T08:44:00Z</cp:lastPrinted>
  <dcterms:created xsi:type="dcterms:W3CDTF">2020-03-12T08:06:00Z</dcterms:created>
  <dcterms:modified xsi:type="dcterms:W3CDTF">2024-09-17T10:52:00Z</dcterms:modified>
</cp:coreProperties>
</file>